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A3" w:rsidRDefault="00D76D92" w:rsidP="00D76D9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val="sk-SK"/>
        </w:rPr>
      </w:pPr>
      <w:r w:rsidRPr="00D76D92">
        <w:rPr>
          <w:rFonts w:ascii="Arial" w:hAnsi="Arial" w:cs="Arial"/>
          <w:b/>
          <w:sz w:val="21"/>
          <w:szCs w:val="21"/>
          <w:lang w:val="sk-SK"/>
        </w:rPr>
        <w:t>Čo s konateľskou zmluvou po odvolaní z funkcie?</w:t>
      </w:r>
    </w:p>
    <w:p w:rsidR="00B071CD" w:rsidRDefault="00B071CD" w:rsidP="00D76D9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lang w:val="sk-SK"/>
        </w:rPr>
      </w:pPr>
    </w:p>
    <w:p w:rsidR="00D76D92" w:rsidRPr="0010697B" w:rsidRDefault="00B071CD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 w:rsidRPr="0010697B">
        <w:rPr>
          <w:rFonts w:ascii="Arial" w:hAnsi="Arial" w:cs="Arial"/>
          <w:b/>
          <w:sz w:val="21"/>
          <w:szCs w:val="21"/>
          <w:lang w:val="sk-SK"/>
        </w:rPr>
        <w:t xml:space="preserve">Vzťah medzi spoločnosťou a konateľom (členom predstavenstva) býva často upravený vo vzájomnej zmluve. Vzťahy medzi zmluvnými stranami sú pri jej uzatváraní často euforické. Spoločnosť sa teší zo získania kvalitného manažéra, konateľ (člen predstavenstva) z novej pozície. Nad detailmi si obvykle nikto dlho </w:t>
      </w:r>
      <w:r w:rsidRPr="0010697B">
        <w:rPr>
          <w:rFonts w:ascii="Arial" w:hAnsi="Arial" w:cs="Arial"/>
          <w:b/>
          <w:sz w:val="21"/>
          <w:szCs w:val="21"/>
          <w:lang w:val="sk-SK"/>
        </w:rPr>
        <w:t>hlavu</w:t>
      </w:r>
      <w:r w:rsidRPr="0010697B">
        <w:rPr>
          <w:rFonts w:ascii="Arial" w:hAnsi="Arial" w:cs="Arial"/>
          <w:b/>
          <w:sz w:val="21"/>
          <w:szCs w:val="21"/>
          <w:lang w:val="sk-SK"/>
        </w:rPr>
        <w:t xml:space="preserve"> neláme. Nezriedka sa stáva, že do takejto zmluvy sú „prepašované“ rôzne klauzuly a ochranné mechanizmy v prospech konateľa, napríklad aj extrémne dlhá výpovedná lehota či odstupné. Problém nastáva, keď sa vzťahy naštrbia a spoločnosť sa rozhodne konateľa z funkcie odvolať.</w:t>
      </w:r>
    </w:p>
    <w:p w:rsidR="00B071CD" w:rsidRDefault="00B071CD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</w:p>
    <w:p w:rsidR="006D5DED" w:rsidRPr="006D5DED" w:rsidRDefault="006D5DED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 w:rsidRPr="006D5DED">
        <w:rPr>
          <w:rFonts w:ascii="Arial" w:hAnsi="Arial" w:cs="Arial"/>
          <w:b/>
          <w:sz w:val="21"/>
          <w:szCs w:val="21"/>
          <w:lang w:val="sk-SK"/>
        </w:rPr>
        <w:t>Vývoj posledných rokov</w:t>
      </w:r>
    </w:p>
    <w:p w:rsidR="006D5DED" w:rsidRDefault="006D5DED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V otázke výkonu funkcie konateľa na základe pracovnej zmluvy zaujala súdna prax v poslednej dobe jednoznačné stanovisko. Konateľ môže na základe pracovnej zmluvy vykonávať len úlohy odlišné od úloh prináležiacich konateľovi spoločnosti.</w:t>
      </w:r>
      <w:r w:rsidR="009F7FB7">
        <w:rPr>
          <w:rFonts w:ascii="Arial" w:hAnsi="Arial" w:cs="Arial"/>
          <w:sz w:val="21"/>
          <w:szCs w:val="21"/>
          <w:lang w:val="sk-SK"/>
        </w:rPr>
        <w:t xml:space="preserve"> Jednoducho povedané, ak má konateľ pracovnú zmluvu, automaticky má v spoločnosti dvojakú úlohu – </w:t>
      </w:r>
      <w:r w:rsidR="00A12E38">
        <w:rPr>
          <w:rFonts w:ascii="Arial" w:hAnsi="Arial" w:cs="Arial"/>
          <w:sz w:val="21"/>
          <w:szCs w:val="21"/>
          <w:lang w:val="sk-SK"/>
        </w:rPr>
        <w:t xml:space="preserve">ako </w:t>
      </w:r>
      <w:r w:rsidR="009F7FB7">
        <w:rPr>
          <w:rFonts w:ascii="Arial" w:hAnsi="Arial" w:cs="Arial"/>
          <w:sz w:val="21"/>
          <w:szCs w:val="21"/>
          <w:lang w:val="sk-SK"/>
        </w:rPr>
        <w:t>konateľ a</w:t>
      </w:r>
      <w:r w:rsidR="00A12E38">
        <w:rPr>
          <w:rFonts w:ascii="Arial" w:hAnsi="Arial" w:cs="Arial"/>
          <w:sz w:val="21"/>
          <w:szCs w:val="21"/>
          <w:lang w:val="sk-SK"/>
        </w:rPr>
        <w:t xml:space="preserve"> ako</w:t>
      </w:r>
      <w:r w:rsidR="009F7FB7">
        <w:rPr>
          <w:rFonts w:ascii="Arial" w:hAnsi="Arial" w:cs="Arial"/>
          <w:sz w:val="21"/>
          <w:szCs w:val="21"/>
          <w:lang w:val="sk-SK"/>
        </w:rPr>
        <w:t> zamestnanec, napr. finančný riaditeľ.</w:t>
      </w: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Uvedené stanovisko súdov sa postupne transformuje aj</w:t>
      </w:r>
      <w:r w:rsidR="009F7FB7">
        <w:rPr>
          <w:rFonts w:ascii="Arial" w:hAnsi="Arial" w:cs="Arial"/>
          <w:sz w:val="21"/>
          <w:szCs w:val="21"/>
          <w:lang w:val="sk-SK"/>
        </w:rPr>
        <w:t xml:space="preserve"> do reálneho života. S konateľmi spoločností</w:t>
      </w:r>
      <w:r>
        <w:rPr>
          <w:rFonts w:ascii="Arial" w:hAnsi="Arial" w:cs="Arial"/>
          <w:sz w:val="21"/>
          <w:szCs w:val="21"/>
          <w:lang w:val="sk-SK"/>
        </w:rPr>
        <w:t xml:space="preserve"> sa </w:t>
      </w:r>
      <w:r w:rsidR="009F7FB7">
        <w:rPr>
          <w:rFonts w:ascii="Arial" w:hAnsi="Arial" w:cs="Arial"/>
          <w:sz w:val="21"/>
          <w:szCs w:val="21"/>
          <w:lang w:val="sk-SK"/>
        </w:rPr>
        <w:t xml:space="preserve">postupne </w:t>
      </w:r>
      <w:r>
        <w:rPr>
          <w:rFonts w:ascii="Arial" w:hAnsi="Arial" w:cs="Arial"/>
          <w:sz w:val="21"/>
          <w:szCs w:val="21"/>
          <w:lang w:val="sk-SK"/>
        </w:rPr>
        <w:t xml:space="preserve">namiesto </w:t>
      </w:r>
      <w:r w:rsidR="009F7FB7">
        <w:rPr>
          <w:rFonts w:ascii="Arial" w:hAnsi="Arial" w:cs="Arial"/>
          <w:sz w:val="21"/>
          <w:szCs w:val="21"/>
          <w:lang w:val="sk-SK"/>
        </w:rPr>
        <w:t>pracovných zmlúv uzatvárajú tzv. manažérske (</w:t>
      </w:r>
      <w:proofErr w:type="spellStart"/>
      <w:r w:rsidR="009F7FB7">
        <w:rPr>
          <w:rFonts w:ascii="Arial" w:hAnsi="Arial" w:cs="Arial"/>
          <w:sz w:val="21"/>
          <w:szCs w:val="21"/>
          <w:lang w:val="sk-SK"/>
        </w:rPr>
        <w:t>t.j</w:t>
      </w:r>
      <w:proofErr w:type="spellEnd"/>
      <w:r w:rsidR="009F7FB7">
        <w:rPr>
          <w:rFonts w:ascii="Arial" w:hAnsi="Arial" w:cs="Arial"/>
          <w:sz w:val="21"/>
          <w:szCs w:val="21"/>
          <w:lang w:val="sk-SK"/>
        </w:rPr>
        <w:t xml:space="preserve">. obchodnoprávne) zmluvy. </w:t>
      </w:r>
      <w:r>
        <w:rPr>
          <w:rFonts w:ascii="Arial" w:hAnsi="Arial" w:cs="Arial"/>
          <w:sz w:val="21"/>
          <w:szCs w:val="21"/>
          <w:lang w:val="sk-SK"/>
        </w:rPr>
        <w:t xml:space="preserve"> </w:t>
      </w:r>
      <w:r w:rsidR="009F7FB7">
        <w:rPr>
          <w:rFonts w:ascii="Arial" w:hAnsi="Arial" w:cs="Arial"/>
          <w:sz w:val="21"/>
          <w:szCs w:val="21"/>
          <w:lang w:val="sk-SK"/>
        </w:rPr>
        <w:t>V praxi môžu</w:t>
      </w:r>
      <w:r>
        <w:rPr>
          <w:rFonts w:ascii="Arial" w:hAnsi="Arial" w:cs="Arial"/>
          <w:sz w:val="21"/>
          <w:szCs w:val="21"/>
          <w:lang w:val="sk-SK"/>
        </w:rPr>
        <w:t xml:space="preserve"> mať rôzne pomenovania, napr. zmluva o výkone funkcie konateľa, mandátna zmluva</w:t>
      </w:r>
      <w:r w:rsidR="009F7FB7">
        <w:rPr>
          <w:rFonts w:ascii="Arial" w:hAnsi="Arial" w:cs="Arial"/>
          <w:sz w:val="21"/>
          <w:szCs w:val="21"/>
          <w:lang w:val="sk-SK"/>
        </w:rPr>
        <w:t xml:space="preserve"> s konateľom</w:t>
      </w:r>
      <w:r>
        <w:rPr>
          <w:rFonts w:ascii="Arial" w:hAnsi="Arial" w:cs="Arial"/>
          <w:sz w:val="21"/>
          <w:szCs w:val="21"/>
          <w:lang w:val="sk-SK"/>
        </w:rPr>
        <w:t>, konateľská zmluva a</w:t>
      </w:r>
      <w:r w:rsidR="00B16A12">
        <w:rPr>
          <w:rFonts w:ascii="Arial" w:hAnsi="Arial" w:cs="Arial"/>
          <w:sz w:val="21"/>
          <w:szCs w:val="21"/>
          <w:lang w:val="sk-SK"/>
        </w:rPr>
        <w:t> </w:t>
      </w:r>
      <w:r>
        <w:rPr>
          <w:rFonts w:ascii="Arial" w:hAnsi="Arial" w:cs="Arial"/>
          <w:sz w:val="21"/>
          <w:szCs w:val="21"/>
          <w:lang w:val="sk-SK"/>
        </w:rPr>
        <w:t>pod</w:t>
      </w:r>
      <w:r w:rsidR="00B16A12">
        <w:rPr>
          <w:rFonts w:ascii="Arial" w:hAnsi="Arial" w:cs="Arial"/>
          <w:sz w:val="21"/>
          <w:szCs w:val="21"/>
          <w:lang w:val="sk-SK"/>
        </w:rPr>
        <w:t>.</w:t>
      </w:r>
      <w:r w:rsidR="005C65F2">
        <w:rPr>
          <w:rFonts w:ascii="Arial" w:hAnsi="Arial" w:cs="Arial"/>
          <w:sz w:val="21"/>
          <w:szCs w:val="21"/>
          <w:lang w:val="sk-SK"/>
        </w:rPr>
        <w:t xml:space="preserve"> (ďalej len „</w:t>
      </w:r>
      <w:r w:rsidR="005C65F2">
        <w:rPr>
          <w:rFonts w:ascii="Arial" w:hAnsi="Arial" w:cs="Arial"/>
          <w:b/>
          <w:sz w:val="21"/>
          <w:szCs w:val="21"/>
          <w:lang w:val="sk-SK"/>
        </w:rPr>
        <w:t>konateľská zmluva</w:t>
      </w:r>
      <w:r w:rsidR="005C65F2">
        <w:rPr>
          <w:rFonts w:ascii="Arial" w:hAnsi="Arial" w:cs="Arial"/>
          <w:sz w:val="21"/>
          <w:szCs w:val="21"/>
          <w:lang w:val="sk-SK"/>
        </w:rPr>
        <w:t>“)</w:t>
      </w:r>
      <w:r>
        <w:rPr>
          <w:rFonts w:ascii="Arial" w:hAnsi="Arial" w:cs="Arial"/>
          <w:sz w:val="21"/>
          <w:szCs w:val="21"/>
          <w:lang w:val="sk-SK"/>
        </w:rPr>
        <w:t xml:space="preserve">. </w:t>
      </w:r>
    </w:p>
    <w:p w:rsidR="00A12E38" w:rsidRDefault="00A12E3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A12E38" w:rsidRPr="00A12E38" w:rsidRDefault="00A12E38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 w:rsidRPr="00A12E38">
        <w:rPr>
          <w:rFonts w:ascii="Arial" w:hAnsi="Arial" w:cs="Arial"/>
          <w:b/>
          <w:sz w:val="21"/>
          <w:szCs w:val="21"/>
          <w:lang w:val="sk-SK"/>
        </w:rPr>
        <w:t>Výpovedná lehota konateľskej zmluvy</w:t>
      </w: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Chýbajúca ucelená prá</w:t>
      </w:r>
      <w:r w:rsidR="00E0129A">
        <w:rPr>
          <w:rFonts w:ascii="Arial" w:hAnsi="Arial" w:cs="Arial"/>
          <w:sz w:val="21"/>
          <w:szCs w:val="21"/>
          <w:lang w:val="sk-SK"/>
        </w:rPr>
        <w:t>vna regulácia a súdna prax</w:t>
      </w:r>
      <w:r w:rsidR="005C65F2">
        <w:rPr>
          <w:rFonts w:ascii="Arial" w:hAnsi="Arial" w:cs="Arial"/>
          <w:sz w:val="21"/>
          <w:szCs w:val="21"/>
          <w:lang w:val="sk-SK"/>
        </w:rPr>
        <w:t xml:space="preserve"> však prináša nový problém. V konateľskej zmluve býva častokrát dohodnutá výpovedná lehota, </w:t>
      </w:r>
      <w:r w:rsidR="00A12E38">
        <w:rPr>
          <w:rFonts w:ascii="Arial" w:hAnsi="Arial" w:cs="Arial"/>
          <w:sz w:val="21"/>
          <w:szCs w:val="21"/>
          <w:lang w:val="sk-SK"/>
        </w:rPr>
        <w:t>nezriedka aj šesť a viac</w:t>
      </w:r>
      <w:r w:rsidR="009F7FB7">
        <w:rPr>
          <w:rFonts w:ascii="Arial" w:hAnsi="Arial" w:cs="Arial"/>
          <w:sz w:val="21"/>
          <w:szCs w:val="21"/>
          <w:lang w:val="sk-SK"/>
        </w:rPr>
        <w:t xml:space="preserve"> mesačná. O</w:t>
      </w:r>
      <w:r w:rsidR="005C65F2">
        <w:rPr>
          <w:rFonts w:ascii="Arial" w:hAnsi="Arial" w:cs="Arial"/>
          <w:sz w:val="21"/>
          <w:szCs w:val="21"/>
          <w:lang w:val="sk-SK"/>
        </w:rPr>
        <w:t>dmena konateľa, ako jedného z najvyšších funkcionárov spoločnosti</w:t>
      </w:r>
      <w:r w:rsidR="009F7FB7">
        <w:rPr>
          <w:rFonts w:ascii="Arial" w:hAnsi="Arial" w:cs="Arial"/>
          <w:sz w:val="21"/>
          <w:szCs w:val="21"/>
          <w:lang w:val="sk-SK"/>
        </w:rPr>
        <w:t>,</w:t>
      </w:r>
      <w:r w:rsidR="00A12E38">
        <w:rPr>
          <w:rFonts w:ascii="Arial" w:hAnsi="Arial" w:cs="Arial"/>
          <w:sz w:val="21"/>
          <w:szCs w:val="21"/>
          <w:lang w:val="sk-SK"/>
        </w:rPr>
        <w:t xml:space="preserve"> pritom </w:t>
      </w:r>
      <w:r w:rsidR="005C65F2">
        <w:rPr>
          <w:rFonts w:ascii="Arial" w:hAnsi="Arial" w:cs="Arial"/>
          <w:sz w:val="21"/>
          <w:szCs w:val="21"/>
          <w:lang w:val="sk-SK"/>
        </w:rPr>
        <w:t>p</w:t>
      </w:r>
      <w:r w:rsidR="009F7FB7">
        <w:rPr>
          <w:rFonts w:ascii="Arial" w:hAnsi="Arial" w:cs="Arial"/>
          <w:sz w:val="21"/>
          <w:szCs w:val="21"/>
          <w:lang w:val="sk-SK"/>
        </w:rPr>
        <w:t xml:space="preserve">redstavuje </w:t>
      </w:r>
      <w:r w:rsidR="00E0129A">
        <w:rPr>
          <w:rFonts w:ascii="Arial" w:hAnsi="Arial" w:cs="Arial"/>
          <w:sz w:val="21"/>
          <w:szCs w:val="21"/>
          <w:lang w:val="sk-SK"/>
        </w:rPr>
        <w:t xml:space="preserve">väčšinou </w:t>
      </w:r>
      <w:r w:rsidR="009F7FB7">
        <w:rPr>
          <w:rFonts w:ascii="Arial" w:hAnsi="Arial" w:cs="Arial"/>
          <w:sz w:val="21"/>
          <w:szCs w:val="21"/>
          <w:lang w:val="sk-SK"/>
        </w:rPr>
        <w:t>nemalú sumu. O</w:t>
      </w:r>
      <w:r w:rsidR="005C65F2">
        <w:rPr>
          <w:rFonts w:ascii="Arial" w:hAnsi="Arial" w:cs="Arial"/>
          <w:sz w:val="21"/>
          <w:szCs w:val="21"/>
          <w:lang w:val="sk-SK"/>
        </w:rPr>
        <w:t xml:space="preserve">tázka potreby dodržania výpovednej lehoty </w:t>
      </w:r>
      <w:r w:rsidR="009F7FB7">
        <w:rPr>
          <w:rFonts w:ascii="Arial" w:hAnsi="Arial" w:cs="Arial"/>
          <w:sz w:val="21"/>
          <w:szCs w:val="21"/>
          <w:lang w:val="sk-SK"/>
        </w:rPr>
        <w:t>a</w:t>
      </w:r>
      <w:r w:rsidR="00A12E38">
        <w:rPr>
          <w:rFonts w:ascii="Arial" w:hAnsi="Arial" w:cs="Arial"/>
          <w:sz w:val="21"/>
          <w:szCs w:val="21"/>
          <w:lang w:val="sk-SK"/>
        </w:rPr>
        <w:t xml:space="preserve"> s tým spojeného </w:t>
      </w:r>
      <w:r w:rsidR="009F7FB7">
        <w:rPr>
          <w:rFonts w:ascii="Arial" w:hAnsi="Arial" w:cs="Arial"/>
          <w:sz w:val="21"/>
          <w:szCs w:val="21"/>
          <w:lang w:val="sk-SK"/>
        </w:rPr>
        <w:t>vyplácania odmeny v</w:t>
      </w:r>
      <w:r w:rsidR="005C65F2">
        <w:rPr>
          <w:rFonts w:ascii="Arial" w:hAnsi="Arial" w:cs="Arial"/>
          <w:sz w:val="21"/>
          <w:szCs w:val="21"/>
          <w:lang w:val="sk-SK"/>
        </w:rPr>
        <w:t xml:space="preserve"> prípade odvolania z funkcie </w:t>
      </w:r>
      <w:r w:rsidR="009F7FB7">
        <w:rPr>
          <w:rFonts w:ascii="Arial" w:hAnsi="Arial" w:cs="Arial"/>
          <w:sz w:val="21"/>
          <w:szCs w:val="21"/>
          <w:lang w:val="sk-SK"/>
        </w:rPr>
        <w:t>konateľa</w:t>
      </w:r>
      <w:r w:rsidR="00E0129A">
        <w:rPr>
          <w:rFonts w:ascii="Arial" w:hAnsi="Arial" w:cs="Arial"/>
          <w:sz w:val="21"/>
          <w:szCs w:val="21"/>
          <w:lang w:val="sk-SK"/>
        </w:rPr>
        <w:t>,</w:t>
      </w:r>
      <w:r w:rsidR="009F7FB7">
        <w:rPr>
          <w:rFonts w:ascii="Arial" w:hAnsi="Arial" w:cs="Arial"/>
          <w:sz w:val="21"/>
          <w:szCs w:val="21"/>
          <w:lang w:val="sk-SK"/>
        </w:rPr>
        <w:t xml:space="preserve"> je preto </w:t>
      </w:r>
      <w:r w:rsidR="005C65F2">
        <w:rPr>
          <w:rFonts w:ascii="Arial" w:hAnsi="Arial" w:cs="Arial"/>
          <w:sz w:val="21"/>
          <w:szCs w:val="21"/>
          <w:lang w:val="sk-SK"/>
        </w:rPr>
        <w:t>pre spoločnosť viac než zaujímavá.</w:t>
      </w:r>
    </w:p>
    <w:p w:rsidR="00D76D92" w:rsidRDefault="00D76D9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E0129A" w:rsidRPr="00E0129A" w:rsidRDefault="00E0129A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>
        <w:rPr>
          <w:rFonts w:ascii="Arial" w:hAnsi="Arial" w:cs="Arial"/>
          <w:b/>
          <w:sz w:val="21"/>
          <w:szCs w:val="21"/>
          <w:lang w:val="sk-SK"/>
        </w:rPr>
        <w:t>Podstata konateľskej zmluvy</w:t>
      </w:r>
    </w:p>
    <w:p w:rsidR="00E0129A" w:rsidRDefault="00E0129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E0129A" w:rsidRDefault="00B16A12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Na zodpovedanie vyššie nastolenej</w:t>
      </w:r>
      <w:r w:rsidR="00B97D5A">
        <w:rPr>
          <w:rFonts w:ascii="Arial" w:hAnsi="Arial" w:cs="Arial"/>
          <w:sz w:val="21"/>
          <w:szCs w:val="21"/>
          <w:lang w:val="sk-SK"/>
        </w:rPr>
        <w:t xml:space="preserve"> otázky je potrebné zamyslieť sa najskôr nad charakterom a podstatou konateľskej zmluvy.</w:t>
      </w:r>
      <w:r w:rsidR="00E533D1">
        <w:rPr>
          <w:rFonts w:ascii="Arial" w:hAnsi="Arial" w:cs="Arial"/>
          <w:sz w:val="21"/>
          <w:szCs w:val="21"/>
          <w:lang w:val="sk-SK"/>
        </w:rPr>
        <w:t xml:space="preserve"> Účelom konateľskej zmluvy je regulácia rôznych aspektov súvisiacich s výkonom funkcie konateľa, napr. spôsob výkonu funkcie, odmena, interné obmedzenia a pod.</w:t>
      </w:r>
      <w:r w:rsidR="00C11E89">
        <w:rPr>
          <w:rFonts w:ascii="Arial" w:hAnsi="Arial" w:cs="Arial"/>
          <w:sz w:val="21"/>
          <w:szCs w:val="21"/>
          <w:lang w:val="sk-SK"/>
        </w:rPr>
        <w:t xml:space="preserve"> </w:t>
      </w:r>
    </w:p>
    <w:p w:rsidR="00E0129A" w:rsidRDefault="00E0129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B97D5A" w:rsidRDefault="00C11E8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Samotnej existencie (vzniku a zániku) funkcie sa však nedotýka. </w:t>
      </w:r>
      <w:r w:rsidR="00B97D5A">
        <w:rPr>
          <w:rFonts w:ascii="Arial" w:hAnsi="Arial" w:cs="Arial"/>
          <w:sz w:val="21"/>
          <w:szCs w:val="21"/>
          <w:lang w:val="sk-SK"/>
        </w:rPr>
        <w:t xml:space="preserve">Funkcia konateľa nevzniká podpisom </w:t>
      </w:r>
      <w:r>
        <w:rPr>
          <w:rFonts w:ascii="Arial" w:hAnsi="Arial" w:cs="Arial"/>
          <w:sz w:val="21"/>
          <w:szCs w:val="21"/>
          <w:lang w:val="sk-SK"/>
        </w:rPr>
        <w:t>konateľskej zmluvy, ani nezaniká</w:t>
      </w:r>
      <w:r w:rsidR="00B97D5A">
        <w:rPr>
          <w:rFonts w:ascii="Arial" w:hAnsi="Arial" w:cs="Arial"/>
          <w:sz w:val="21"/>
          <w:szCs w:val="21"/>
          <w:lang w:val="sk-SK"/>
        </w:rPr>
        <w:t xml:space="preserve"> skončením</w:t>
      </w:r>
      <w:r>
        <w:rPr>
          <w:rFonts w:ascii="Arial" w:hAnsi="Arial" w:cs="Arial"/>
          <w:sz w:val="21"/>
          <w:szCs w:val="21"/>
          <w:lang w:val="sk-SK"/>
        </w:rPr>
        <w:t xml:space="preserve"> jej</w:t>
      </w:r>
      <w:r w:rsidR="00B97D5A">
        <w:rPr>
          <w:rFonts w:ascii="Arial" w:hAnsi="Arial" w:cs="Arial"/>
          <w:sz w:val="21"/>
          <w:szCs w:val="21"/>
          <w:lang w:val="sk-SK"/>
        </w:rPr>
        <w:t xml:space="preserve"> platnosti, napr. uplynutím výpovednej lehoty.</w:t>
      </w:r>
    </w:p>
    <w:p w:rsidR="00B97D5A" w:rsidRDefault="00B97D5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B97D5A" w:rsidRDefault="00B97D5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Vznik a zánik konateľských oprávnení je </w:t>
      </w:r>
      <w:r w:rsidR="00C11E89">
        <w:rPr>
          <w:rFonts w:ascii="Arial" w:hAnsi="Arial" w:cs="Arial"/>
          <w:sz w:val="21"/>
          <w:szCs w:val="21"/>
          <w:lang w:val="sk-SK"/>
        </w:rPr>
        <w:t xml:space="preserve">teda </w:t>
      </w:r>
      <w:r>
        <w:rPr>
          <w:rFonts w:ascii="Arial" w:hAnsi="Arial" w:cs="Arial"/>
          <w:sz w:val="21"/>
          <w:szCs w:val="21"/>
          <w:lang w:val="sk-SK"/>
        </w:rPr>
        <w:t xml:space="preserve">nezávislý od existencie konateľskej zmluvy. </w:t>
      </w:r>
      <w:r w:rsidR="00C11E89">
        <w:rPr>
          <w:rFonts w:ascii="Arial" w:hAnsi="Arial" w:cs="Arial"/>
          <w:sz w:val="21"/>
          <w:szCs w:val="21"/>
          <w:lang w:val="sk-SK"/>
        </w:rPr>
        <w:t xml:space="preserve">Otázkou však je, či to možno tvrdiť aj opačne. </w:t>
      </w:r>
      <w:r>
        <w:rPr>
          <w:rFonts w:ascii="Arial" w:hAnsi="Arial" w:cs="Arial"/>
          <w:sz w:val="21"/>
          <w:szCs w:val="21"/>
          <w:lang w:val="sk-SK"/>
        </w:rPr>
        <w:t xml:space="preserve"> </w:t>
      </w:r>
    </w:p>
    <w:p w:rsidR="00B97D5A" w:rsidRDefault="00B97D5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E0129A" w:rsidRPr="00E0129A" w:rsidRDefault="00E0129A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 w:rsidRPr="00E0129A">
        <w:rPr>
          <w:rFonts w:ascii="Arial" w:hAnsi="Arial" w:cs="Arial"/>
          <w:b/>
          <w:sz w:val="21"/>
          <w:szCs w:val="21"/>
          <w:lang w:val="sk-SK"/>
        </w:rPr>
        <w:t>Charakter konateľskej zmluvy</w:t>
      </w:r>
    </w:p>
    <w:p w:rsidR="00E0129A" w:rsidRDefault="00E0129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6D5DED" w:rsidRDefault="0049556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P</w:t>
      </w:r>
      <w:r w:rsidR="00B5131D">
        <w:rPr>
          <w:rFonts w:ascii="Arial" w:hAnsi="Arial" w:cs="Arial"/>
          <w:sz w:val="21"/>
          <w:szCs w:val="21"/>
          <w:lang w:val="sk-SK"/>
        </w:rPr>
        <w:t>odľa nášho právneho názoru má</w:t>
      </w:r>
      <w:r w:rsidR="00B97D5A">
        <w:rPr>
          <w:rFonts w:ascii="Arial" w:hAnsi="Arial" w:cs="Arial"/>
          <w:sz w:val="21"/>
          <w:szCs w:val="21"/>
          <w:lang w:val="sk-SK"/>
        </w:rPr>
        <w:t xml:space="preserve"> konateľská zmluva </w:t>
      </w:r>
      <w:r w:rsidR="00B5131D">
        <w:rPr>
          <w:rFonts w:ascii="Arial" w:hAnsi="Arial" w:cs="Arial"/>
          <w:sz w:val="21"/>
          <w:szCs w:val="21"/>
          <w:lang w:val="sk-SK"/>
        </w:rPr>
        <w:t>syna</w:t>
      </w:r>
      <w:r w:rsidR="00B97D5A">
        <w:rPr>
          <w:rFonts w:ascii="Arial" w:hAnsi="Arial" w:cs="Arial"/>
          <w:sz w:val="21"/>
          <w:szCs w:val="21"/>
          <w:lang w:val="sk-SK"/>
        </w:rPr>
        <w:t>l</w:t>
      </w:r>
      <w:r w:rsidR="00B5131D">
        <w:rPr>
          <w:rFonts w:ascii="Arial" w:hAnsi="Arial" w:cs="Arial"/>
          <w:sz w:val="21"/>
          <w:szCs w:val="21"/>
          <w:lang w:val="sk-SK"/>
        </w:rPr>
        <w:t>agmatickú povahu</w:t>
      </w:r>
      <w:r>
        <w:rPr>
          <w:rFonts w:ascii="Arial" w:hAnsi="Arial" w:cs="Arial"/>
          <w:sz w:val="21"/>
          <w:szCs w:val="21"/>
          <w:lang w:val="sk-SK"/>
        </w:rPr>
        <w:t>.</w:t>
      </w:r>
      <w:r w:rsidR="00B5131D">
        <w:rPr>
          <w:rFonts w:ascii="Arial" w:hAnsi="Arial" w:cs="Arial"/>
          <w:sz w:val="21"/>
          <w:szCs w:val="21"/>
          <w:lang w:val="sk-SK"/>
        </w:rPr>
        <w:t xml:space="preserve"> To znamená, že obe zmluvné strany majú z nej vzájomne hospodársky prospech.</w:t>
      </w:r>
      <w:r>
        <w:rPr>
          <w:rFonts w:ascii="Arial" w:hAnsi="Arial" w:cs="Arial"/>
          <w:sz w:val="21"/>
          <w:szCs w:val="21"/>
          <w:lang w:val="sk-SK"/>
        </w:rPr>
        <w:t xml:space="preserve"> Dohodnutá</w:t>
      </w:r>
      <w:r w:rsidR="009F6318">
        <w:rPr>
          <w:rFonts w:ascii="Arial" w:hAnsi="Arial" w:cs="Arial"/>
          <w:sz w:val="21"/>
          <w:szCs w:val="21"/>
          <w:lang w:val="sk-SK"/>
        </w:rPr>
        <w:t xml:space="preserve"> odmena sa poskytuje za poskytnuté služby. </w:t>
      </w:r>
      <w:r w:rsidR="009F7FB7">
        <w:rPr>
          <w:rFonts w:ascii="Arial" w:hAnsi="Arial" w:cs="Arial"/>
          <w:sz w:val="21"/>
          <w:szCs w:val="21"/>
          <w:lang w:val="sk-SK"/>
        </w:rPr>
        <w:t>Službou je v tomto prípade</w:t>
      </w:r>
      <w:r w:rsidR="009F6318">
        <w:rPr>
          <w:rFonts w:ascii="Arial" w:hAnsi="Arial" w:cs="Arial"/>
          <w:sz w:val="21"/>
          <w:szCs w:val="21"/>
          <w:lang w:val="sk-SK"/>
        </w:rPr>
        <w:t xml:space="preserve"> plnenie úloh vyplývajúcich z postavenia konateľa (napr. riadenie spoločnosti, uzatváranie zmlúv v jej mene, reprezentácia spoločnosti navonok a pod.).</w:t>
      </w:r>
    </w:p>
    <w:p w:rsidR="009F6318" w:rsidRDefault="009F631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9F6318" w:rsidRDefault="009F631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Okamihom účinnosti odvolania z funkcie konateľa však konateľ z právneho hľadiska nemôže ďalej tieto služby</w:t>
      </w:r>
      <w:r w:rsidR="009F7FB7" w:rsidRPr="009F7FB7">
        <w:rPr>
          <w:rFonts w:ascii="Arial" w:hAnsi="Arial" w:cs="Arial"/>
          <w:sz w:val="21"/>
          <w:szCs w:val="21"/>
          <w:lang w:val="sk-SK"/>
        </w:rPr>
        <w:t xml:space="preserve"> </w:t>
      </w:r>
      <w:r w:rsidR="009F7FB7">
        <w:rPr>
          <w:rFonts w:ascii="Arial" w:hAnsi="Arial" w:cs="Arial"/>
          <w:sz w:val="21"/>
          <w:szCs w:val="21"/>
          <w:lang w:val="sk-SK"/>
        </w:rPr>
        <w:t>poskytovať</w:t>
      </w:r>
      <w:r>
        <w:rPr>
          <w:rFonts w:ascii="Arial" w:hAnsi="Arial" w:cs="Arial"/>
          <w:sz w:val="21"/>
          <w:szCs w:val="21"/>
          <w:lang w:val="sk-SK"/>
        </w:rPr>
        <w:t xml:space="preserve">. Odmena dohodnutá podľa konateľskej zmluvy by preto podľa nášho názoru predstavovala bezdôvodné obohatenie konateľa. </w:t>
      </w:r>
      <w:r w:rsidR="00952B80">
        <w:rPr>
          <w:rFonts w:ascii="Arial" w:hAnsi="Arial" w:cs="Arial"/>
          <w:sz w:val="21"/>
          <w:szCs w:val="21"/>
          <w:lang w:val="sk-SK"/>
        </w:rPr>
        <w:t xml:space="preserve">Odmena bola totiž dohodnutá ako protislužba za niečo, čo už ďalej poskytované byť nemôže. Ide teda o právny dôvod, ktorý odpadol. </w:t>
      </w:r>
    </w:p>
    <w:p w:rsidR="00952B80" w:rsidRDefault="00952B80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952B80" w:rsidRDefault="00952B80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Ak by sa aj konateľ </w:t>
      </w:r>
      <w:r w:rsidR="009F7FB7">
        <w:rPr>
          <w:rFonts w:ascii="Arial" w:hAnsi="Arial" w:cs="Arial"/>
          <w:sz w:val="21"/>
          <w:szCs w:val="21"/>
          <w:lang w:val="sk-SK"/>
        </w:rPr>
        <w:t>dožadoval</w:t>
      </w:r>
      <w:r>
        <w:rPr>
          <w:rFonts w:ascii="Arial" w:hAnsi="Arial" w:cs="Arial"/>
          <w:sz w:val="21"/>
          <w:szCs w:val="21"/>
          <w:lang w:val="sk-SK"/>
        </w:rPr>
        <w:t xml:space="preserve"> svojej odmeny počas plynutia výpovednej lehoty, narazil by na ustanov</w:t>
      </w:r>
      <w:r w:rsidR="009F7FB7">
        <w:rPr>
          <w:rFonts w:ascii="Arial" w:hAnsi="Arial" w:cs="Arial"/>
          <w:sz w:val="21"/>
          <w:szCs w:val="21"/>
          <w:lang w:val="sk-SK"/>
        </w:rPr>
        <w:t>enie § 325 Obchodného zákonníka. V</w:t>
      </w:r>
      <w:r>
        <w:rPr>
          <w:rFonts w:ascii="Arial" w:hAnsi="Arial" w:cs="Arial"/>
          <w:sz w:val="21"/>
          <w:szCs w:val="21"/>
          <w:lang w:val="sk-SK"/>
        </w:rPr>
        <w:t xml:space="preserve"> zmysle </w:t>
      </w:r>
      <w:r w:rsidR="009F7FB7">
        <w:rPr>
          <w:rFonts w:ascii="Arial" w:hAnsi="Arial" w:cs="Arial"/>
          <w:sz w:val="21"/>
          <w:szCs w:val="21"/>
          <w:lang w:val="sk-SK"/>
        </w:rPr>
        <w:t xml:space="preserve">uvedeného ustanovenia </w:t>
      </w:r>
      <w:r>
        <w:rPr>
          <w:rFonts w:ascii="Arial" w:hAnsi="Arial" w:cs="Arial"/>
          <w:sz w:val="21"/>
          <w:szCs w:val="21"/>
          <w:lang w:val="sk-SK"/>
        </w:rPr>
        <w:t xml:space="preserve">sa pri vzájomných záväzkoch môže domáhať splnenia záväzku druhej strany len tá strana, ktorá už svoj záväzok splnila alebo je pripravená a schopná ho splniť. Inak povedané, konateľ môže svoju odmenu požadovať len vtedy, ak už poskytol spoločnosti svoje služby (výkon svojich konateľských úloh), alebo je aspoň schopný tieto poskytnúť. Ani jedna z týchto možností však po jeho odvolaní z funkcie neprichádza do úvahy. </w:t>
      </w:r>
    </w:p>
    <w:p w:rsidR="00AB09B9" w:rsidRDefault="00AB09B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AB09B9" w:rsidRDefault="00AB09B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Spoločnosť by sa prípadne mohla podporne odvolať aj na ustanovenie § 326 Obchodného zákonníka. Svoje neplnenie (neposkytnutie odmeny) by teda odôvodnila tým, že vzhľadom na odvolanie z funkcie sa stalo zrejmým, že konateľ svoj zmluvný záväzok ďalej plniť nebude. Teda ani spoločnosť ďalej nepodlieha povinnosti plniť svoju časť záväzku, </w:t>
      </w:r>
      <w:proofErr w:type="spellStart"/>
      <w:r>
        <w:rPr>
          <w:rFonts w:ascii="Arial" w:hAnsi="Arial" w:cs="Arial"/>
          <w:sz w:val="21"/>
          <w:szCs w:val="21"/>
          <w:lang w:val="sk-SK"/>
        </w:rPr>
        <w:t>t.j</w:t>
      </w:r>
      <w:proofErr w:type="spellEnd"/>
      <w:r>
        <w:rPr>
          <w:rFonts w:ascii="Arial" w:hAnsi="Arial" w:cs="Arial"/>
          <w:sz w:val="21"/>
          <w:szCs w:val="21"/>
          <w:lang w:val="sk-SK"/>
        </w:rPr>
        <w:t xml:space="preserve">. platiť mu odmenu. </w:t>
      </w:r>
    </w:p>
    <w:p w:rsidR="00AF3069" w:rsidRDefault="00AF306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04342A" w:rsidRPr="0004342A" w:rsidRDefault="0004342A" w:rsidP="00D76D92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lang w:val="sk-SK"/>
        </w:rPr>
      </w:pPr>
      <w:r w:rsidRPr="0004342A">
        <w:rPr>
          <w:rFonts w:ascii="Arial" w:hAnsi="Arial" w:cs="Arial"/>
          <w:b/>
          <w:sz w:val="21"/>
          <w:szCs w:val="21"/>
          <w:lang w:val="sk-SK"/>
        </w:rPr>
        <w:t>Zánik konateľskej zmluvy</w:t>
      </w:r>
    </w:p>
    <w:p w:rsidR="0004342A" w:rsidRDefault="0004342A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6C73D5" w:rsidRDefault="006C73D5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Či platnosť a účinnosť konateľskej zmluvy zaniká okamihom účinnosti odvolania konateľa z</w:t>
      </w:r>
      <w:r w:rsidR="00B5131D">
        <w:rPr>
          <w:rFonts w:ascii="Arial" w:hAnsi="Arial" w:cs="Arial"/>
          <w:sz w:val="21"/>
          <w:szCs w:val="21"/>
          <w:lang w:val="sk-SK"/>
        </w:rPr>
        <w:t> </w:t>
      </w:r>
      <w:r>
        <w:rPr>
          <w:rFonts w:ascii="Arial" w:hAnsi="Arial" w:cs="Arial"/>
          <w:sz w:val="21"/>
          <w:szCs w:val="21"/>
          <w:lang w:val="sk-SK"/>
        </w:rPr>
        <w:t>funkcie</w:t>
      </w:r>
      <w:r w:rsidR="00B5131D">
        <w:rPr>
          <w:rFonts w:ascii="Arial" w:hAnsi="Arial" w:cs="Arial"/>
          <w:sz w:val="21"/>
          <w:szCs w:val="21"/>
          <w:lang w:val="sk-SK"/>
        </w:rPr>
        <w:t>,</w:t>
      </w:r>
      <w:r>
        <w:rPr>
          <w:rFonts w:ascii="Arial" w:hAnsi="Arial" w:cs="Arial"/>
          <w:sz w:val="21"/>
          <w:szCs w:val="21"/>
          <w:lang w:val="sk-SK"/>
        </w:rPr>
        <w:t xml:space="preserve"> je otázne. Na podporu tohto tvrdenia by sa dalo použiť ustanovenie § 66 ods. 3 Obchodného </w:t>
      </w:r>
      <w:r>
        <w:rPr>
          <w:rFonts w:ascii="Arial" w:hAnsi="Arial" w:cs="Arial"/>
          <w:sz w:val="21"/>
          <w:szCs w:val="21"/>
          <w:lang w:val="sk-SK"/>
        </w:rPr>
        <w:lastRenderedPageBreak/>
        <w:t xml:space="preserve">zákonníka, podľa ktorého konateľská zmluva upravuje vzťah medzi spoločnosťou a konateľom. Okamihom účinnosti jeho odvolania z funkcie však príslušná osoba </w:t>
      </w:r>
      <w:r w:rsidR="00B5131D">
        <w:rPr>
          <w:rFonts w:ascii="Arial" w:hAnsi="Arial" w:cs="Arial"/>
          <w:sz w:val="21"/>
          <w:szCs w:val="21"/>
          <w:lang w:val="sk-SK"/>
        </w:rPr>
        <w:t>konateľský atribút</w:t>
      </w:r>
      <w:r>
        <w:rPr>
          <w:rFonts w:ascii="Arial" w:hAnsi="Arial" w:cs="Arial"/>
          <w:sz w:val="21"/>
          <w:szCs w:val="21"/>
          <w:lang w:val="sk-SK"/>
        </w:rPr>
        <w:t xml:space="preserve"> stráca. </w:t>
      </w:r>
      <w:r w:rsidR="0004342A">
        <w:rPr>
          <w:rFonts w:ascii="Arial" w:hAnsi="Arial" w:cs="Arial"/>
          <w:sz w:val="21"/>
          <w:szCs w:val="21"/>
          <w:lang w:val="sk-SK"/>
        </w:rPr>
        <w:t>Na druhej strane by takýto (gramatický) výklad mohol byť považovaný za príliš reštriktívny.</w:t>
      </w:r>
    </w:p>
    <w:p w:rsidR="00B5131D" w:rsidRDefault="00B5131D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10697B" w:rsidRDefault="0057295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Z dôvodu zvýšenia právnej istoty je preto možné odporučiť ukončenie zmluvy</w:t>
      </w:r>
      <w:r w:rsidR="006C73D5">
        <w:rPr>
          <w:rFonts w:ascii="Arial" w:hAnsi="Arial" w:cs="Arial"/>
          <w:sz w:val="21"/>
          <w:szCs w:val="21"/>
          <w:lang w:val="sk-SK"/>
        </w:rPr>
        <w:t xml:space="preserve"> </w:t>
      </w:r>
      <w:r w:rsidR="00AF3069">
        <w:rPr>
          <w:rFonts w:ascii="Arial" w:hAnsi="Arial" w:cs="Arial"/>
          <w:sz w:val="21"/>
          <w:szCs w:val="21"/>
          <w:lang w:val="sk-SK"/>
        </w:rPr>
        <w:t>niektorým zo štandardných spôsobov, napr. vzájomnou dohodou zmluvných strán, či výpoveďou. V prípade dohody je však spoločnosť odkázaná na spoluprácu zo strany ex</w:t>
      </w:r>
      <w:r w:rsidR="00280CC4">
        <w:rPr>
          <w:rFonts w:ascii="Arial" w:hAnsi="Arial" w:cs="Arial"/>
          <w:sz w:val="21"/>
          <w:szCs w:val="21"/>
          <w:lang w:val="sk-SK"/>
        </w:rPr>
        <w:t>-</w:t>
      </w:r>
      <w:r w:rsidR="00AF3069">
        <w:rPr>
          <w:rFonts w:ascii="Arial" w:hAnsi="Arial" w:cs="Arial"/>
          <w:sz w:val="21"/>
          <w:szCs w:val="21"/>
          <w:lang w:val="sk-SK"/>
        </w:rPr>
        <w:t xml:space="preserve">konateľa, v prípade výpovede vo vzduchu stále visí výpovedná lehota. </w:t>
      </w:r>
      <w:r w:rsidR="0010697B">
        <w:rPr>
          <w:rFonts w:ascii="Arial" w:hAnsi="Arial" w:cs="Arial"/>
          <w:sz w:val="21"/>
          <w:szCs w:val="21"/>
          <w:lang w:val="sk-SK"/>
        </w:rPr>
        <w:t xml:space="preserve">Do úvahy by síce prichádzalo včasné podanie výpovede tak, aby uplynutie výpovednej lehoty korešpondovalo s okamihom odvolania konateľa z funkcie. Na to však často nebýva dostatok času, resp. </w:t>
      </w:r>
      <w:r w:rsidR="0010697B">
        <w:rPr>
          <w:rFonts w:ascii="Arial" w:hAnsi="Arial" w:cs="Arial"/>
          <w:sz w:val="21"/>
          <w:szCs w:val="21"/>
          <w:lang w:val="sk-SK"/>
        </w:rPr>
        <w:t>vytratil by sa (zamýšľaný) moment prekvapenia.</w:t>
      </w:r>
      <w:bookmarkStart w:id="0" w:name="_GoBack"/>
      <w:bookmarkEnd w:id="0"/>
      <w:r w:rsidR="0010697B">
        <w:rPr>
          <w:rFonts w:ascii="Arial" w:hAnsi="Arial" w:cs="Arial"/>
          <w:sz w:val="21"/>
          <w:szCs w:val="21"/>
          <w:lang w:val="sk-SK"/>
        </w:rPr>
        <w:t xml:space="preserve">  </w:t>
      </w:r>
    </w:p>
    <w:p w:rsidR="0010697B" w:rsidRDefault="0010697B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AF3069" w:rsidRDefault="00AF306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Keďže nastolená otázka odmeny konateľa počas plynutia výpovednej lehoty podľa stavu našich vedomostí doposiaľ judikovaná nebola, </w:t>
      </w:r>
      <w:r w:rsidR="00280CC4">
        <w:rPr>
          <w:rFonts w:ascii="Arial" w:hAnsi="Arial" w:cs="Arial"/>
          <w:sz w:val="21"/>
          <w:szCs w:val="21"/>
          <w:lang w:val="sk-SK"/>
        </w:rPr>
        <w:t xml:space="preserve">neexistuje absolútna istota, že príslušný súd by sa stotožnil s argumentmi prezentovanými vyššie. </w:t>
      </w:r>
    </w:p>
    <w:p w:rsidR="00280CC4" w:rsidRDefault="00280CC4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572959" w:rsidRDefault="00280CC4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 xml:space="preserve">Je preto potrebné ďalej zvážiť možnosť odstúpenia od zmluvy. </w:t>
      </w:r>
      <w:r w:rsidR="00572959">
        <w:rPr>
          <w:rFonts w:ascii="Arial" w:hAnsi="Arial" w:cs="Arial"/>
          <w:sz w:val="21"/>
          <w:szCs w:val="21"/>
          <w:lang w:val="sk-SK"/>
        </w:rPr>
        <w:t>Ak táto možnosť nie je upravená priamo v konateľskej zmluve, čo by bol prípad skôr ojedinelý, je potrebné postupovať podľa zákona. Do úvahy by prichádzalo napr. odstúpenie z dôvodu zmarenia účelu zmluvy či odstúpenie z dôvodu omeškania dlžníka.</w:t>
      </w:r>
      <w:r w:rsidR="0004342A">
        <w:rPr>
          <w:rFonts w:ascii="Arial" w:hAnsi="Arial" w:cs="Arial"/>
          <w:sz w:val="21"/>
          <w:szCs w:val="21"/>
          <w:lang w:val="sk-SK"/>
        </w:rPr>
        <w:t xml:space="preserve"> Pri odstúpení však potrebné myslieť a</w:t>
      </w:r>
      <w:r w:rsidR="00A37339">
        <w:rPr>
          <w:rFonts w:ascii="Arial" w:hAnsi="Arial" w:cs="Arial"/>
          <w:sz w:val="21"/>
          <w:szCs w:val="21"/>
          <w:lang w:val="sk-SK"/>
        </w:rPr>
        <w:t xml:space="preserve">j na úpravu jeho účinkov. Zákonná úprava totiž pre takýto prípad predvída zrušenie zmluvy od začiatku, čo v tomto prípade nie je výhodné ani pre jednu zo zúčastnených strán. </w:t>
      </w:r>
    </w:p>
    <w:p w:rsidR="00A37339" w:rsidRDefault="00A3733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572959" w:rsidRDefault="00572959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  <w:r>
        <w:rPr>
          <w:rFonts w:ascii="Arial" w:hAnsi="Arial" w:cs="Arial"/>
          <w:sz w:val="21"/>
          <w:szCs w:val="21"/>
          <w:lang w:val="sk-SK"/>
        </w:rPr>
        <w:t>Kým nastolenia otázka nebude jednoznačne vyriešená zo strany súdnej praxe</w:t>
      </w:r>
      <w:r w:rsidR="00DA547B">
        <w:rPr>
          <w:rFonts w:ascii="Arial" w:hAnsi="Arial" w:cs="Arial"/>
          <w:sz w:val="21"/>
          <w:szCs w:val="21"/>
          <w:lang w:val="sk-SK"/>
        </w:rPr>
        <w:t xml:space="preserve">, možno len odporučiť prezieravú formuláciu konateľskej zmluvy. Investícia do právneho poradenstva sa v tomto prípade určite oplatí. </w:t>
      </w:r>
    </w:p>
    <w:p w:rsidR="00A12E38" w:rsidRDefault="00A12E3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p w:rsidR="00A12E38" w:rsidRDefault="00A12E38" w:rsidP="00A12E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2E3D5B0" wp14:editId="69897E4D">
            <wp:extent cx="923925" cy="1381125"/>
            <wp:effectExtent l="0" t="0" r="9525" b="9525"/>
            <wp:docPr id="2" name="Obrázok 2" descr="Fot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38" w:rsidRDefault="00A12E38" w:rsidP="00A12E3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>JUDr. Zuzana Hnátová, LL.M, advokátka</w:t>
      </w:r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 xml:space="preserve">advokátska kancelária </w:t>
      </w:r>
      <w:proofErr w:type="spellStart"/>
      <w:r w:rsidRPr="00A12E38">
        <w:rPr>
          <w:rFonts w:ascii="Arial" w:hAnsi="Arial" w:cs="Arial"/>
          <w:color w:val="000000"/>
          <w:sz w:val="21"/>
          <w:szCs w:val="21"/>
          <w:lang w:val="sk-SK"/>
        </w:rPr>
        <w:t>Dvořák</w:t>
      </w:r>
      <w:proofErr w:type="spellEnd"/>
      <w:r w:rsidRPr="00A12E38">
        <w:rPr>
          <w:rFonts w:ascii="Arial" w:hAnsi="Arial" w:cs="Arial"/>
          <w:color w:val="000000"/>
          <w:sz w:val="21"/>
          <w:szCs w:val="21"/>
          <w:lang w:val="sk-SK"/>
        </w:rPr>
        <w:t xml:space="preserve"> Hager &amp; </w:t>
      </w:r>
      <w:proofErr w:type="spellStart"/>
      <w:r w:rsidRPr="00A12E38">
        <w:rPr>
          <w:rFonts w:ascii="Arial" w:hAnsi="Arial" w:cs="Arial"/>
          <w:color w:val="000000"/>
          <w:sz w:val="21"/>
          <w:szCs w:val="21"/>
          <w:lang w:val="sk-SK"/>
        </w:rPr>
        <w:t>Partners</w:t>
      </w:r>
      <w:proofErr w:type="spellEnd"/>
    </w:p>
    <w:p w:rsidR="00A12E38" w:rsidRPr="00A12E38" w:rsidRDefault="00A12E38" w:rsidP="00A12E38">
      <w:pPr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 xml:space="preserve">Advokátska kancelária </w:t>
      </w:r>
      <w:proofErr w:type="spellStart"/>
      <w:r w:rsidRPr="00A12E38">
        <w:rPr>
          <w:rFonts w:ascii="Arial" w:hAnsi="Arial" w:cs="Arial"/>
          <w:color w:val="000000"/>
          <w:sz w:val="21"/>
          <w:szCs w:val="21"/>
          <w:lang w:val="sk-SK"/>
        </w:rPr>
        <w:t>Dvořák</w:t>
      </w:r>
      <w:proofErr w:type="spellEnd"/>
      <w:r w:rsidRPr="00A12E38">
        <w:rPr>
          <w:rFonts w:ascii="Arial" w:hAnsi="Arial" w:cs="Arial"/>
          <w:color w:val="000000"/>
          <w:sz w:val="21"/>
          <w:szCs w:val="21"/>
          <w:lang w:val="sk-SK"/>
        </w:rPr>
        <w:t xml:space="preserve"> Hager &amp; </w:t>
      </w:r>
      <w:proofErr w:type="spellStart"/>
      <w:r w:rsidRPr="00A12E38">
        <w:rPr>
          <w:rFonts w:ascii="Arial" w:hAnsi="Arial" w:cs="Arial"/>
          <w:color w:val="000000"/>
          <w:sz w:val="21"/>
          <w:szCs w:val="21"/>
          <w:lang w:val="sk-SK"/>
        </w:rPr>
        <w:t>Partners</w:t>
      </w:r>
      <w:proofErr w:type="spellEnd"/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>Cintorínska 3/a, 811 08 Bratislava</w:t>
      </w:r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>Tel: +421/2 32 78 64 11</w:t>
      </w:r>
    </w:p>
    <w:p w:rsidR="00A12E38" w:rsidRPr="00A12E38" w:rsidRDefault="00A12E38" w:rsidP="00A12E38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sk-SK"/>
        </w:rPr>
      </w:pPr>
      <w:r w:rsidRPr="00A12E38">
        <w:rPr>
          <w:rFonts w:ascii="Arial" w:hAnsi="Arial" w:cs="Arial"/>
          <w:color w:val="000000"/>
          <w:sz w:val="21"/>
          <w:szCs w:val="21"/>
          <w:lang w:val="sk-SK"/>
        </w:rPr>
        <w:t>e-mail: zuzana.hnatova@dhplegal.com</w:t>
      </w:r>
    </w:p>
    <w:p w:rsidR="00A12E38" w:rsidRDefault="00A12E38" w:rsidP="00D76D92">
      <w:pPr>
        <w:spacing w:after="0" w:line="360" w:lineRule="auto"/>
        <w:jc w:val="both"/>
        <w:rPr>
          <w:rFonts w:ascii="Arial" w:hAnsi="Arial" w:cs="Arial"/>
          <w:sz w:val="21"/>
          <w:szCs w:val="21"/>
          <w:lang w:val="sk-SK"/>
        </w:rPr>
      </w:pPr>
    </w:p>
    <w:sectPr w:rsidR="00A1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C3FF6"/>
    <w:multiLevelType w:val="hybridMultilevel"/>
    <w:tmpl w:val="AD5C42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2"/>
    <w:rsid w:val="0000412C"/>
    <w:rsid w:val="00033D9A"/>
    <w:rsid w:val="0004342A"/>
    <w:rsid w:val="0010697B"/>
    <w:rsid w:val="00280CC4"/>
    <w:rsid w:val="00495568"/>
    <w:rsid w:val="00572959"/>
    <w:rsid w:val="005C65F2"/>
    <w:rsid w:val="006A54D6"/>
    <w:rsid w:val="006C73D5"/>
    <w:rsid w:val="006D4757"/>
    <w:rsid w:val="006D5DED"/>
    <w:rsid w:val="0071698C"/>
    <w:rsid w:val="00952B80"/>
    <w:rsid w:val="009F6318"/>
    <w:rsid w:val="009F7FB7"/>
    <w:rsid w:val="00A12E38"/>
    <w:rsid w:val="00A37339"/>
    <w:rsid w:val="00AB09B9"/>
    <w:rsid w:val="00AF3069"/>
    <w:rsid w:val="00B071CD"/>
    <w:rsid w:val="00B16A12"/>
    <w:rsid w:val="00B5131D"/>
    <w:rsid w:val="00B97D5A"/>
    <w:rsid w:val="00C11E89"/>
    <w:rsid w:val="00D407A3"/>
    <w:rsid w:val="00D76D92"/>
    <w:rsid w:val="00DA547B"/>
    <w:rsid w:val="00E0129A"/>
    <w:rsid w:val="00E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4857-C178-4E88-841D-720BE07F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DE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F05F-132B-4897-BA70-070C66E8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Hnatova</dc:creator>
  <cp:keywords/>
  <dc:description/>
  <cp:lastModifiedBy>Zuzana Hnatova</cp:lastModifiedBy>
  <cp:revision>13</cp:revision>
  <dcterms:created xsi:type="dcterms:W3CDTF">2015-06-20T09:59:00Z</dcterms:created>
  <dcterms:modified xsi:type="dcterms:W3CDTF">2015-06-29T12:36:00Z</dcterms:modified>
</cp:coreProperties>
</file>